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CB5C0" w14:textId="77777777" w:rsidR="006D18B9" w:rsidRDefault="006D18B9"/>
    <w:p w14:paraId="0DA531FD" w14:textId="77777777" w:rsidR="006D18B9" w:rsidRPr="00A7156C" w:rsidRDefault="00000000">
      <w:pPr>
        <w:spacing w:line="276" w:lineRule="auto"/>
        <w:rPr>
          <w:b/>
          <w:bCs/>
          <w:sz w:val="32"/>
          <w:szCs w:val="32"/>
        </w:rPr>
      </w:pPr>
      <w:r>
        <w:rPr>
          <w:b/>
          <w:bCs/>
          <w:sz w:val="32"/>
          <w:szCs w:val="32"/>
        </w:rPr>
        <w:t xml:space="preserve">Dovolená autem bez stresu: formulář o nehodě může ušetřit hodiny i </w:t>
      </w:r>
      <w:r w:rsidRPr="00A7156C">
        <w:rPr>
          <w:b/>
          <w:bCs/>
          <w:sz w:val="32"/>
          <w:szCs w:val="32"/>
        </w:rPr>
        <w:t>komplikace v zahraničí</w:t>
      </w:r>
    </w:p>
    <w:p w14:paraId="157B62F9" w14:textId="51157D02" w:rsidR="006D18B9" w:rsidRPr="00A7156C" w:rsidRDefault="00000000">
      <w:pPr>
        <w:spacing w:line="276" w:lineRule="auto"/>
        <w:rPr>
          <w:b/>
          <w:bCs/>
        </w:rPr>
      </w:pPr>
      <w:r w:rsidRPr="00A7156C">
        <w:rPr>
          <w:b/>
          <w:bCs/>
        </w:rPr>
        <w:br/>
        <w:t xml:space="preserve">Praha </w:t>
      </w:r>
      <w:r w:rsidR="00580674">
        <w:rPr>
          <w:b/>
          <w:bCs/>
        </w:rPr>
        <w:t>15</w:t>
      </w:r>
      <w:r w:rsidRPr="00A7156C">
        <w:rPr>
          <w:b/>
          <w:bCs/>
        </w:rPr>
        <w:t xml:space="preserve">. července 2026 – Tisíce Čechů vyrážejí v létě na dovolenou vlastním autem. Vedle dokladů, zelené karty nebo cestovního pojištění ale často zapomínají na dokument, který může po dopravní nehodě výrazně zjednodušit celou situaci – formulář Záznam o dopravní nehodě. Odborníci doporučují mít ho připravený přímo v autě, ideálně i pro cesty do zahraničí třeba dvojjazyčný. Správně vyplněný formulář totiž může urychlit komunikaci s pojišťovnou, předejít nedorozuměním a pomoci vyřešit škodu bez zbytečných průtahů. </w:t>
      </w:r>
    </w:p>
    <w:p w14:paraId="39909671" w14:textId="77777777" w:rsidR="006D18B9" w:rsidRPr="00A7156C" w:rsidRDefault="00000000">
      <w:pPr>
        <w:spacing w:line="276" w:lineRule="auto"/>
      </w:pPr>
      <w:r w:rsidRPr="00A7156C">
        <w:rPr>
          <w:b/>
          <w:bCs/>
          <w:sz w:val="32"/>
          <w:szCs w:val="32"/>
        </w:rPr>
        <w:br/>
      </w:r>
      <w:r w:rsidRPr="00A7156C">
        <w:t>Dopravní nehoda patří mezi situace, které si řidiči před cestou většinou nepřipouštějí. Přitom právě během letních měsíců roste počet cest autem i počet drobných kolizí na parkovištích, v kolonách nebo v neznámém prostředí. Kromě stresu se často přidává jazyková bariéra a nejistota, co vlastně dělat jako první.</w:t>
      </w:r>
    </w:p>
    <w:p w14:paraId="7AE8386D" w14:textId="77777777" w:rsidR="006D18B9" w:rsidRPr="00A7156C" w:rsidRDefault="00000000">
      <w:pPr>
        <w:spacing w:line="276" w:lineRule="auto"/>
      </w:pPr>
      <w:r w:rsidRPr="00A7156C">
        <w:t>„Lidé většinou řeší před cestou hlavně pojištění nebo trasu, ale už nemyslí na samotný postup při nehodě. Přitom několik minut přípravy před odjezdem může později ušetřit hodiny řešení i zbytečné komplikace při likvidaci škody,“ říká Tomáš Klápa, specialista na neživotní pojištění FinGO.</w:t>
      </w:r>
    </w:p>
    <w:p w14:paraId="39C9A376" w14:textId="77777777" w:rsidR="006D18B9" w:rsidRPr="00A7156C" w:rsidRDefault="00000000">
      <w:pPr>
        <w:spacing w:line="276" w:lineRule="auto"/>
      </w:pPr>
      <w:r w:rsidRPr="00A7156C">
        <w:t>Jedním z nejdůležitějších dokumentů je právě Záznam o dopravní nehodě, který slouží k popsání celé události v případě, že není nutné volat policii. Formulář vyplňují společně oba účastníci nehody a následně slouží jako důležitý podklad pro řešení pojistné události. Cílem není sepisovat složité právní formulace, ale zachytit situaci jasně, přehledně a tak, aby bylo možné zpětně určit průběh nehody.</w:t>
      </w:r>
    </w:p>
    <w:p w14:paraId="0790B512" w14:textId="77777777" w:rsidR="006D18B9" w:rsidRPr="00A7156C" w:rsidRDefault="00000000">
      <w:pPr>
        <w:spacing w:line="276" w:lineRule="auto"/>
        <w:rPr>
          <w:b/>
          <w:bCs/>
        </w:rPr>
      </w:pPr>
      <w:r w:rsidRPr="00A7156C">
        <w:rPr>
          <w:b/>
          <w:bCs/>
        </w:rPr>
        <w:t>Nestačí fotografie. Důležité je vyplnit formulář správně</w:t>
      </w:r>
    </w:p>
    <w:p w14:paraId="557F26CA" w14:textId="77777777" w:rsidR="006D18B9" w:rsidRPr="00A7156C" w:rsidRDefault="00000000">
      <w:pPr>
        <w:spacing w:line="276" w:lineRule="auto"/>
      </w:pPr>
      <w:r w:rsidRPr="00A7156C">
        <w:t>Řada řidičů dnes spoléhá na to, že vše nafotí telefonem a dokumentaci doplní později. Fotografie mohou pomoci zachytit detaily nehody, samy o sobě ale nenahrazují správně vyplněný formulář, který zůstává jedním z hlavních podkladů pro řešení škody.</w:t>
      </w:r>
    </w:p>
    <w:p w14:paraId="09FFF684" w14:textId="77777777" w:rsidR="006D18B9" w:rsidRPr="00A7156C" w:rsidRDefault="00000000">
      <w:pPr>
        <w:spacing w:line="276" w:lineRule="auto"/>
      </w:pPr>
      <w:r w:rsidRPr="00A7156C">
        <w:t>Při vyplňování je důležité uvést přesné místo a čas nehody, údaje o obou vozidlech a řidičích, informace o pojištění a co nejpřesněji označit rozsah poškození. Součástí formuláře je také jednoduchý nákres situace, který pomáhá zachytit směr jízdy, postavení vozidel nebo okolnosti střetu.</w:t>
      </w:r>
    </w:p>
    <w:p w14:paraId="3BA0E558" w14:textId="77777777" w:rsidR="006D18B9" w:rsidRPr="00A7156C" w:rsidRDefault="00000000">
      <w:pPr>
        <w:spacing w:line="276" w:lineRule="auto"/>
      </w:pPr>
      <w:r w:rsidRPr="00A7156C">
        <w:lastRenderedPageBreak/>
        <w:t>Důležité je formulář vyplňovat v klidu a nespěchat. Pokud si účastníci nejsou jistí průběhem nehody nebo se na něm nedokážou shodnout, není vhodné dokument podepisovat pod tlakem.</w:t>
      </w:r>
    </w:p>
    <w:p w14:paraId="268B2E12" w14:textId="77777777" w:rsidR="006D18B9" w:rsidRDefault="00000000">
      <w:pPr>
        <w:spacing w:line="276" w:lineRule="auto"/>
      </w:pPr>
      <w:r w:rsidRPr="00A7156C">
        <w:t>„Ve stresu lidé často přehlédnou detaily nebo podepíšou něco, co následně neodpovídá skutečnosti. Pokud vzniknou pochybnosti nebo se druhá strana chová nestandardně, je lepší situaci konzultovat nebo přivolat policii,“ říká Tomáš Klápa, specialista na neživotní pojištění FinGO.</w:t>
      </w:r>
    </w:p>
    <w:p w14:paraId="44733EDB" w14:textId="77777777" w:rsidR="006D18B9" w:rsidRDefault="006D18B9">
      <w:pPr>
        <w:spacing w:line="276" w:lineRule="auto"/>
        <w:rPr>
          <w:highlight w:val="yellow"/>
        </w:rPr>
      </w:pPr>
    </w:p>
    <w:p w14:paraId="143F3AFE" w14:textId="77777777" w:rsidR="006D18B9" w:rsidRDefault="00000000">
      <w:pPr>
        <w:spacing w:line="276" w:lineRule="auto"/>
      </w:pPr>
      <w:r>
        <w:t>Zároveň se doporučuje pořídit několik fotografií, například celkový pohled na místo nehody, postavení vozidel, registrační značky i detaily poškození.</w:t>
      </w:r>
    </w:p>
    <w:p w14:paraId="58C6D72C" w14:textId="77777777" w:rsidR="006D18B9" w:rsidRDefault="00000000">
      <w:pPr>
        <w:spacing w:line="276" w:lineRule="auto"/>
        <w:rPr>
          <w:b/>
          <w:bCs/>
        </w:rPr>
      </w:pPr>
      <w:r>
        <w:rPr>
          <w:b/>
          <w:bCs/>
        </w:rPr>
        <w:t>V zahraničí se vyplatí být ještě opatrnější</w:t>
      </w:r>
    </w:p>
    <w:p w14:paraId="5F3995F7" w14:textId="77777777" w:rsidR="006D18B9" w:rsidRDefault="00000000">
      <w:pPr>
        <w:spacing w:line="276" w:lineRule="auto"/>
      </w:pPr>
      <w:r>
        <w:t>Pokud dojde k nehodě mimo Českou republiku, bývá situace složitější. Kromě samotné nehody musí řidiči často řešit komunikaci v cizím jazyce, odlišné postupy nebo dokumenty od druhé strany.</w:t>
      </w:r>
    </w:p>
    <w:p w14:paraId="3F3AFC8C" w14:textId="77777777" w:rsidR="006D18B9" w:rsidRDefault="00000000">
      <w:pPr>
        <w:spacing w:line="276" w:lineRule="auto"/>
      </w:pPr>
      <w:r>
        <w:t>Proto odborníci doporučují mít formulář připravený ještě před odjezdem a neponechávat nic náhodě. Výhodou evropského formuláře je, že má v jednotlivých zemích obdobnou strukturu, takže se podle něj obvykle orientují i zahraniční účastníci nehody.</w:t>
      </w:r>
    </w:p>
    <w:p w14:paraId="54F75C34" w14:textId="77777777" w:rsidR="006D18B9" w:rsidRDefault="00000000">
      <w:pPr>
        <w:spacing w:line="276" w:lineRule="auto"/>
      </w:pPr>
      <w:r>
        <w:t>Řidiči by zároveň neměli podepisovat dokumenty, kterým nerozumí. Pokud vzniknou pochybnosti, je vhodné kontaktovat asistenční službu pojišťovny, která může pomoci s postupem i překladem. Asistence často poradí i s tím, zda je nutné přivolat policii nebo jak správně zaznamenat průběh nehody.</w:t>
      </w:r>
    </w:p>
    <w:p w14:paraId="30990C76" w14:textId="77777777" w:rsidR="006D18B9" w:rsidRDefault="00000000">
      <w:pPr>
        <w:spacing w:line="276" w:lineRule="auto"/>
      </w:pPr>
      <w:r>
        <w:t xml:space="preserve">Praktické je mít dokument připravený i ve dvojjazyčné verzi a uložené kontakty na asistenci přímo v telefonu. Někteří řidiči dnes využívají také možnost formulář vyplnit elektronicky – například v aplikaci České kanceláře pojistitelů </w:t>
      </w:r>
      <w:hyperlink r:id="rId8">
        <w:r w:rsidR="006D18B9">
          <w:rPr>
            <w:color w:val="0000FF"/>
            <w:u w:val="single"/>
          </w:rPr>
          <w:t>Bouračka</w:t>
        </w:r>
      </w:hyperlink>
      <w:r>
        <w:t>, která je ideální pro tuzemské dopravní nehody, kde nedošlo ke zranění a nebylo třeba volat k nehodě policii. Papírová verze ale zůstává jistotou v zahraničí, například v místech bez signálu nebo při vybité baterii.</w:t>
      </w:r>
    </w:p>
    <w:p w14:paraId="7A7FCEF9" w14:textId="77777777" w:rsidR="006D18B9" w:rsidRDefault="00000000">
      <w:pPr>
        <w:spacing w:line="276" w:lineRule="auto"/>
        <w:rPr>
          <w:b/>
          <w:bCs/>
        </w:rPr>
      </w:pPr>
      <w:sdt>
        <w:sdtPr>
          <w:tag w:val="goog_rdk_0"/>
          <w:id w:val="831689476"/>
        </w:sdtPr>
        <w:sdtContent/>
      </w:sdt>
      <w:r>
        <w:rPr>
          <w:b/>
          <w:bCs/>
        </w:rPr>
        <w:t>Praktické tipy před letní cestou autem</w:t>
      </w:r>
    </w:p>
    <w:p w14:paraId="14342AEF" w14:textId="77777777" w:rsidR="006D18B9" w:rsidRDefault="00000000">
      <w:pPr>
        <w:numPr>
          <w:ilvl w:val="0"/>
          <w:numId w:val="1"/>
        </w:numPr>
        <w:spacing w:line="276" w:lineRule="auto"/>
      </w:pPr>
      <w:r>
        <w:t xml:space="preserve">stáhnout a vytisknout si formulář Záznam o dopravní nehodě </w:t>
      </w:r>
    </w:p>
    <w:p w14:paraId="305FCBB2" w14:textId="77777777" w:rsidR="006D18B9" w:rsidRDefault="00000000">
      <w:pPr>
        <w:numPr>
          <w:ilvl w:val="0"/>
          <w:numId w:val="1"/>
        </w:numPr>
        <w:spacing w:line="276" w:lineRule="auto"/>
      </w:pPr>
      <w:r>
        <w:t>uložit si formulář také do telefonu pro případ rychlého vyplnění nebo sdílení</w:t>
      </w:r>
    </w:p>
    <w:p w14:paraId="66164055" w14:textId="77777777" w:rsidR="006D18B9" w:rsidRDefault="00000000">
      <w:pPr>
        <w:numPr>
          <w:ilvl w:val="0"/>
          <w:numId w:val="1"/>
        </w:numPr>
        <w:spacing w:line="276" w:lineRule="auto"/>
      </w:pPr>
      <w:r>
        <w:t xml:space="preserve">mít v telefonu připravený kontakt na asistenční službu </w:t>
      </w:r>
    </w:p>
    <w:p w14:paraId="7EAEE075" w14:textId="77777777" w:rsidR="006D18B9" w:rsidRDefault="00000000">
      <w:pPr>
        <w:numPr>
          <w:ilvl w:val="0"/>
          <w:numId w:val="1"/>
        </w:numPr>
        <w:spacing w:line="276" w:lineRule="auto"/>
      </w:pPr>
      <w:r>
        <w:t xml:space="preserve">při nehodě vše vyfotit ještě před odjezdem vozidel </w:t>
      </w:r>
    </w:p>
    <w:p w14:paraId="15E5D1B5" w14:textId="77777777" w:rsidR="006D18B9" w:rsidRDefault="00000000">
      <w:pPr>
        <w:numPr>
          <w:ilvl w:val="0"/>
          <w:numId w:val="1"/>
        </w:numPr>
        <w:spacing w:line="276" w:lineRule="auto"/>
      </w:pPr>
      <w:r>
        <w:t>nepodepisovat dokumenty v cizím jazyce bez porozumění obsahu</w:t>
      </w:r>
    </w:p>
    <w:p w14:paraId="2CAAC121" w14:textId="77777777" w:rsidR="006D18B9" w:rsidRDefault="00000000">
      <w:pPr>
        <w:numPr>
          <w:ilvl w:val="0"/>
          <w:numId w:val="1"/>
        </w:numPr>
        <w:spacing w:line="276" w:lineRule="auto"/>
      </w:pPr>
      <w:r>
        <w:lastRenderedPageBreak/>
        <w:t>ověřit si před cestou platnost povinného ručení</w:t>
      </w:r>
    </w:p>
    <w:p w14:paraId="2DBFE78E" w14:textId="77777777" w:rsidR="006D18B9" w:rsidRDefault="00000000">
      <w:pPr>
        <w:spacing w:line="276" w:lineRule="auto"/>
      </w:pPr>
      <w:r>
        <w:rPr>
          <w:b/>
          <w:bCs/>
        </w:rPr>
        <w:t>Formulář Záznam o dopravní nehodě včetně návodu k vyplnění najdete zde:</w:t>
      </w:r>
      <w:r>
        <w:br/>
      </w:r>
      <w:hyperlink r:id="rId9">
        <w:r w:rsidR="006D18B9">
          <w:rPr>
            <w:color w:val="0000FF"/>
            <w:u w:val="single"/>
          </w:rPr>
          <w:t>FinGO – Záznam o nehodě: jak ho vyplnit + formulář ke stažení</w:t>
        </w:r>
      </w:hyperlink>
    </w:p>
    <w:p w14:paraId="362300E3" w14:textId="77777777" w:rsidR="006D18B9" w:rsidRDefault="00000000">
      <w:pPr>
        <w:spacing w:line="276" w:lineRule="auto"/>
      </w:pPr>
      <w:r>
        <w:t xml:space="preserve">Pro cesty do zahraničí je pak ideální mít </w:t>
      </w:r>
      <w:hyperlink r:id="rId10">
        <w:r w:rsidR="006D18B9">
          <w:rPr>
            <w:color w:val="0000FF"/>
            <w:u w:val="single"/>
          </w:rPr>
          <w:t>záznam o dopravní nehodě v angličtině</w:t>
        </w:r>
      </w:hyperlink>
      <w:r>
        <w:t>.</w:t>
      </w:r>
    </w:p>
    <w:p w14:paraId="77E5D72F" w14:textId="77777777" w:rsidR="006D18B9" w:rsidRDefault="00000000">
      <w:pPr>
        <w:spacing w:line="276" w:lineRule="auto"/>
      </w:pPr>
      <w:r>
        <w:t>Nehoda sice nepatří do plánů žádné dovolené, ale jednoduchá příprava před odjezdem může rozhodnout o tom, jestli se nepříjemná situace vyřeší během několika hodin, nebo se protáhne na týdny.</w:t>
      </w:r>
    </w:p>
    <w:p w14:paraId="477D144B" w14:textId="77777777" w:rsidR="006D18B9" w:rsidRDefault="006D18B9">
      <w:pPr>
        <w:spacing w:line="276" w:lineRule="auto"/>
        <w:rPr>
          <w:b/>
          <w:bCs/>
          <w:i/>
          <w:iCs/>
          <w:sz w:val="20"/>
          <w:szCs w:val="20"/>
        </w:rPr>
      </w:pPr>
    </w:p>
    <w:p w14:paraId="24806294" w14:textId="77777777" w:rsidR="006D18B9" w:rsidRDefault="00000000">
      <w:pPr>
        <w:spacing w:line="276" w:lineRule="auto"/>
      </w:pPr>
      <w:r>
        <w:rPr>
          <w:b/>
          <w:bCs/>
          <w:i/>
          <w:iCs/>
          <w:sz w:val="20"/>
          <w:szCs w:val="20"/>
        </w:rPr>
        <w:t>O společnosti FinGO:</w:t>
      </w:r>
    </w:p>
    <w:p w14:paraId="6C529FBB" w14:textId="77777777" w:rsidR="006D18B9" w:rsidRDefault="00000000">
      <w:pPr>
        <w:spacing w:line="276" w:lineRule="auto"/>
        <w:rPr>
          <w:i/>
          <w:iCs/>
          <w:sz w:val="20"/>
          <w:szCs w:val="20"/>
        </w:rPr>
      </w:pPr>
      <w:r>
        <w:rPr>
          <w:i/>
          <w:iCs/>
          <w:sz w:val="20"/>
          <w:szCs w:val="20"/>
        </w:rPr>
        <w:t>Digitální finančně-poradenská společnost FinGO.cz začala v České republice působit v roce 2021 s cílem přinést makléřům i klientům pohodlí, férovost a díky digitálním technologiím také příležitost, jak oslovit nové klienty. V současnosti má společnost přes 680 vázaných zástupců, kteří působí po celé České republice. Za dobu svého působení se řadí mezi nejrychleji rostoucí finančně poradenské společnosti v ČR. Významný podíl produkce FinGO.cz pochází z online příležitostí, které společnost sama vytváří pro své vázané zástupce.</w:t>
      </w:r>
    </w:p>
    <w:p w14:paraId="38C6AC37" w14:textId="77777777" w:rsidR="006D18B9" w:rsidRDefault="00000000">
      <w:pPr>
        <w:spacing w:line="276" w:lineRule="auto"/>
        <w:rPr>
          <w:i/>
          <w:iCs/>
          <w:sz w:val="20"/>
          <w:szCs w:val="20"/>
        </w:rPr>
      </w:pPr>
      <w:r>
        <w:rPr>
          <w:i/>
          <w:iCs/>
          <w:sz w:val="20"/>
          <w:szCs w:val="20"/>
        </w:rPr>
        <w:br/>
        <w:t>Společnost FinGO je součástí lokální investiční skupiny InTeFi Capital podnikatele a investora Lukáše Nováka. Skupina vlastní a řídí české a slovenské společnosti z oblastí informačních technologií, financí, energetiky a real estate developmentu. Je majoritním vlastníkem energetické skupiny Electree nebo technologické společnosti BiQ Group, která vytváří komplexní a udržitelné IT projekty pro řadu významných společností na Českém a evropském trhu. Sesterská společnost FinGO.sk byla založena v roce 2017 a stala se jednou z nejrychleji rostoucích společností ve svém oboru na Slovensku. Více než 1 000 odborníků působí ve všech 79 okresech Slovenska a stará se o téměř 150 000 spokojených klientů.</w:t>
      </w:r>
    </w:p>
    <w:p w14:paraId="38C98762" w14:textId="77777777" w:rsidR="006D18B9" w:rsidRDefault="00000000">
      <w:pPr>
        <w:spacing w:line="276" w:lineRule="auto"/>
        <w:rPr>
          <w:i/>
          <w:iCs/>
          <w:sz w:val="20"/>
          <w:szCs w:val="20"/>
        </w:rPr>
      </w:pPr>
      <w:r>
        <w:rPr>
          <w:noProof/>
        </w:rPr>
        <w:drawing>
          <wp:anchor distT="0" distB="0" distL="114300" distR="114300" simplePos="0" relativeHeight="251658240" behindDoc="0" locked="0" layoutInCell="1" hidden="0" allowOverlap="1" wp14:anchorId="54455DFC" wp14:editId="0433644B">
            <wp:simplePos x="0" y="0"/>
            <wp:positionH relativeFrom="column">
              <wp:posOffset>3815079</wp:posOffset>
            </wp:positionH>
            <wp:positionV relativeFrom="paragraph">
              <wp:posOffset>1655445</wp:posOffset>
            </wp:positionV>
            <wp:extent cx="460375" cy="431800"/>
            <wp:effectExtent l="0" t="0" r="0" b="0"/>
            <wp:wrapSquare wrapText="bothSides" distT="0" distB="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60375" cy="4318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29B3942" wp14:editId="57F072AA">
            <wp:simplePos x="0" y="0"/>
            <wp:positionH relativeFrom="column">
              <wp:posOffset>4265929</wp:posOffset>
            </wp:positionH>
            <wp:positionV relativeFrom="paragraph">
              <wp:posOffset>1655445</wp:posOffset>
            </wp:positionV>
            <wp:extent cx="845820" cy="43180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845820" cy="4318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3E6BCDDB" wp14:editId="48C52C31">
            <wp:simplePos x="0" y="0"/>
            <wp:positionH relativeFrom="column">
              <wp:posOffset>5053330</wp:posOffset>
            </wp:positionH>
            <wp:positionV relativeFrom="paragraph">
              <wp:posOffset>1660525</wp:posOffset>
            </wp:positionV>
            <wp:extent cx="467995" cy="431800"/>
            <wp:effectExtent l="0" t="0" r="0" b="0"/>
            <wp:wrapSquare wrapText="bothSides" distT="0" distB="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67995" cy="4318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F3D2147" wp14:editId="77327396">
            <wp:simplePos x="0" y="0"/>
            <wp:positionH relativeFrom="column">
              <wp:posOffset>5693410</wp:posOffset>
            </wp:positionH>
            <wp:positionV relativeFrom="paragraph">
              <wp:posOffset>1660525</wp:posOffset>
            </wp:positionV>
            <wp:extent cx="572135" cy="431800"/>
            <wp:effectExtent l="0" t="0" r="0" b="0"/>
            <wp:wrapSquare wrapText="bothSides" distT="0" distB="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2135" cy="431800"/>
                    </a:xfrm>
                    <a:prstGeom prst="rect">
                      <a:avLst/>
                    </a:prstGeom>
                    <a:ln/>
                  </pic:spPr>
                </pic:pic>
              </a:graphicData>
            </a:graphic>
          </wp:anchor>
        </w:drawing>
      </w:r>
    </w:p>
    <w:p w14:paraId="265B866E" w14:textId="77777777" w:rsidR="006D18B9" w:rsidRDefault="00000000">
      <w:pPr>
        <w:spacing w:after="0"/>
        <w:rPr>
          <w:b/>
          <w:bCs/>
        </w:rPr>
      </w:pPr>
      <w:r>
        <w:rPr>
          <w:sz w:val="20"/>
          <w:szCs w:val="20"/>
        </w:rPr>
        <w:br/>
      </w:r>
      <w:r>
        <w:rPr>
          <w:b/>
          <w:bCs/>
        </w:rPr>
        <w:t>Kontakt pro média:</w:t>
      </w:r>
    </w:p>
    <w:p w14:paraId="2040FCE9" w14:textId="77777777" w:rsidR="006D18B9" w:rsidRDefault="00000000">
      <w:pPr>
        <w:spacing w:after="0"/>
      </w:pPr>
      <w:r>
        <w:t>Crest Communications</w:t>
      </w:r>
    </w:p>
    <w:p w14:paraId="78332D0A" w14:textId="77777777" w:rsidR="006D18B9" w:rsidRDefault="00000000">
      <w:pPr>
        <w:spacing w:after="0"/>
      </w:pPr>
      <w:r>
        <w:t>Bára Wendlová</w:t>
      </w:r>
    </w:p>
    <w:p w14:paraId="5E53D3E3" w14:textId="77777777" w:rsidR="006D18B9" w:rsidRDefault="006D18B9">
      <w:pPr>
        <w:spacing w:after="0"/>
      </w:pPr>
      <w:hyperlink r:id="rId15">
        <w:r>
          <w:rPr>
            <w:color w:val="0000FF"/>
            <w:u w:val="single"/>
          </w:rPr>
          <w:t>bara.wendlova@crestcom.cz</w:t>
        </w:r>
      </w:hyperlink>
      <w:r w:rsidR="00000000">
        <w:br/>
        <w:t>tel.: 737 080 665</w:t>
      </w:r>
    </w:p>
    <w:p w14:paraId="50F4A406" w14:textId="77777777" w:rsidR="006D18B9" w:rsidRDefault="00000000">
      <w:pPr>
        <w:spacing w:after="0"/>
      </w:pPr>
      <w:r>
        <w:br/>
      </w:r>
    </w:p>
    <w:sectPr w:rsidR="006D18B9">
      <w:headerReference w:type="default" r:id="rId16"/>
      <w:footerReference w:type="default" r:id="rId17"/>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608331" w14:textId="77777777" w:rsidR="00B31D53" w:rsidRDefault="00B31D53">
      <w:pPr>
        <w:spacing w:after="0" w:line="240" w:lineRule="auto"/>
      </w:pPr>
      <w:r>
        <w:separator/>
      </w:r>
    </w:p>
  </w:endnote>
  <w:endnote w:type="continuationSeparator" w:id="0">
    <w:p w14:paraId="0D76AFDB" w14:textId="77777777" w:rsidR="00B31D53" w:rsidRDefault="00B31D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77FC90E-D048-4396-BB57-75A4D1ABC21F}"/>
  </w:font>
  <w:font w:name="Courier New">
    <w:panose1 w:val="02070309020205020404"/>
    <w:charset w:val="EE"/>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embedRegular r:id="rId2" w:fontKey="{8CDA5E76-DB53-4CAE-9B26-BC54DEB325B3}"/>
    <w:embedBold r:id="rId3" w:fontKey="{D56B3D64-1CE6-4231-A6D7-88532E73F950}"/>
    <w:embedItalic r:id="rId4" w:fontKey="{C3395149-0B4D-4419-9BB8-34FA5767C8A5}"/>
    <w:embedBoldItalic r:id="rId5" w:fontKey="{1F629008-6121-4080-874A-2B4C917554BA}"/>
  </w:font>
  <w:font w:name="Calibri">
    <w:panose1 w:val="020F0502020204030204"/>
    <w:charset w:val="EE"/>
    <w:family w:val="swiss"/>
    <w:pitch w:val="variable"/>
    <w:sig w:usb0="E4002EFF" w:usb1="C200247B" w:usb2="00000009" w:usb3="00000000" w:csb0="000001FF" w:csb1="00000000"/>
    <w:embedRegular r:id="rId6" w:fontKey="{6AED4E10-3069-4CD5-8948-DAA28145E8FC}"/>
    <w:embedItalic r:id="rId7" w:fontKey="{7FDCBAC8-2013-4742-AF3D-6F31A22D58C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8" w:fontKey="{9E97A2F3-808D-4A91-A62D-D53BDA1FECC8}"/>
  </w:font>
  <w:font w:name="Cambria">
    <w:panose1 w:val="02040503050406030204"/>
    <w:charset w:val="EE"/>
    <w:family w:val="roman"/>
    <w:pitch w:val="variable"/>
    <w:sig w:usb0="E00006FF" w:usb1="420024FF" w:usb2="02000000" w:usb3="00000000" w:csb0="0000019F" w:csb1="00000000"/>
    <w:embedRegular r:id="rId9" w:fontKey="{952EF19D-3ED1-4AAC-9CE1-D2EEE7B0E3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7A2C" w14:textId="77777777" w:rsidR="006D18B9" w:rsidRDefault="006D18B9">
    <w:pPr>
      <w:widowControl w:val="0"/>
      <w:pBdr>
        <w:top w:val="nil"/>
        <w:left w:val="nil"/>
        <w:bottom w:val="nil"/>
        <w:right w:val="nil"/>
        <w:between w:val="nil"/>
      </w:pBdr>
      <w:spacing w:after="0" w:line="276" w:lineRule="auto"/>
      <w:jc w:val="left"/>
      <w:rPr>
        <w:color w:val="000000"/>
      </w:rPr>
    </w:pPr>
  </w:p>
  <w:tbl>
    <w:tblPr>
      <w:tblStyle w:val="a"/>
      <w:tblW w:w="9060" w:type="dxa"/>
      <w:tblInd w:w="0" w:type="dxa"/>
      <w:tblLayout w:type="fixed"/>
      <w:tblLook w:val="0600" w:firstRow="0" w:lastRow="0" w:firstColumn="0" w:lastColumn="0" w:noHBand="1" w:noVBand="1"/>
    </w:tblPr>
    <w:tblGrid>
      <w:gridCol w:w="3020"/>
      <w:gridCol w:w="3020"/>
      <w:gridCol w:w="3020"/>
    </w:tblGrid>
    <w:tr w:rsidR="006D18B9" w14:paraId="17A10243" w14:textId="77777777">
      <w:trPr>
        <w:trHeight w:val="300"/>
      </w:trPr>
      <w:tc>
        <w:tcPr>
          <w:tcW w:w="3020" w:type="dxa"/>
        </w:tcPr>
        <w:p w14:paraId="2605C22D" w14:textId="77777777" w:rsidR="006D18B9" w:rsidRDefault="006D18B9">
          <w:pPr>
            <w:pBdr>
              <w:top w:val="nil"/>
              <w:left w:val="nil"/>
              <w:bottom w:val="nil"/>
              <w:right w:val="nil"/>
              <w:between w:val="nil"/>
            </w:pBdr>
            <w:tabs>
              <w:tab w:val="center" w:pos="4536"/>
              <w:tab w:val="right" w:pos="9072"/>
            </w:tabs>
            <w:spacing w:after="0" w:line="240" w:lineRule="auto"/>
            <w:rPr>
              <w:color w:val="000000"/>
            </w:rPr>
          </w:pPr>
        </w:p>
      </w:tc>
      <w:tc>
        <w:tcPr>
          <w:tcW w:w="3020" w:type="dxa"/>
        </w:tcPr>
        <w:p w14:paraId="45F70A2B" w14:textId="77777777" w:rsidR="006D18B9" w:rsidRDefault="006D18B9">
          <w:pPr>
            <w:pBdr>
              <w:top w:val="nil"/>
              <w:left w:val="nil"/>
              <w:bottom w:val="nil"/>
              <w:right w:val="nil"/>
              <w:between w:val="nil"/>
            </w:pBdr>
            <w:tabs>
              <w:tab w:val="center" w:pos="4536"/>
              <w:tab w:val="right" w:pos="9072"/>
            </w:tabs>
            <w:spacing w:after="0" w:line="240" w:lineRule="auto"/>
            <w:rPr>
              <w:color w:val="000000"/>
            </w:rPr>
          </w:pPr>
        </w:p>
      </w:tc>
      <w:tc>
        <w:tcPr>
          <w:tcW w:w="3020" w:type="dxa"/>
        </w:tcPr>
        <w:p w14:paraId="314DFAF3" w14:textId="77777777" w:rsidR="006D18B9" w:rsidRDefault="006D18B9">
          <w:pPr>
            <w:pBdr>
              <w:top w:val="nil"/>
              <w:left w:val="nil"/>
              <w:bottom w:val="nil"/>
              <w:right w:val="nil"/>
              <w:between w:val="nil"/>
            </w:pBdr>
            <w:tabs>
              <w:tab w:val="center" w:pos="4536"/>
              <w:tab w:val="right" w:pos="9072"/>
            </w:tabs>
            <w:spacing w:after="0" w:line="240" w:lineRule="auto"/>
            <w:rPr>
              <w:color w:val="000000"/>
            </w:rPr>
          </w:pPr>
        </w:p>
      </w:tc>
    </w:tr>
  </w:tbl>
  <w:p w14:paraId="16E090D8" w14:textId="77777777" w:rsidR="006D18B9" w:rsidRDefault="006D18B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4C6C9" w14:textId="77777777" w:rsidR="00B31D53" w:rsidRDefault="00B31D53">
      <w:pPr>
        <w:spacing w:after="0" w:line="240" w:lineRule="auto"/>
      </w:pPr>
      <w:r>
        <w:separator/>
      </w:r>
    </w:p>
  </w:footnote>
  <w:footnote w:type="continuationSeparator" w:id="0">
    <w:p w14:paraId="5B752A03" w14:textId="77777777" w:rsidR="00B31D53" w:rsidRDefault="00B31D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1827C" w14:textId="77777777" w:rsidR="006D18B9" w:rsidRDefault="00000000">
    <w:pPr>
      <w:pBdr>
        <w:top w:val="nil"/>
        <w:left w:val="nil"/>
        <w:bottom w:val="nil"/>
        <w:right w:val="nil"/>
        <w:between w:val="nil"/>
      </w:pBdr>
      <w:tabs>
        <w:tab w:val="center" w:pos="4536"/>
        <w:tab w:val="right" w:pos="9072"/>
      </w:tabs>
      <w:spacing w:after="0" w:line="240" w:lineRule="auto"/>
      <w:rPr>
        <w:color w:val="000000"/>
        <w:sz w:val="30"/>
        <w:szCs w:val="30"/>
      </w:rPr>
    </w:pPr>
    <w:r>
      <w:rPr>
        <w:noProof/>
      </w:rPr>
      <w:drawing>
        <wp:anchor distT="0" distB="0" distL="114300" distR="114300" simplePos="0" relativeHeight="251658240" behindDoc="0" locked="0" layoutInCell="1" hidden="0" allowOverlap="1" wp14:anchorId="00FE7E69" wp14:editId="3E443492">
          <wp:simplePos x="0" y="0"/>
          <wp:positionH relativeFrom="column">
            <wp:posOffset>4310380</wp:posOffset>
          </wp:positionH>
          <wp:positionV relativeFrom="paragraph">
            <wp:posOffset>-325753</wp:posOffset>
          </wp:positionV>
          <wp:extent cx="1895475" cy="768985"/>
          <wp:effectExtent l="0" t="0" r="0" b="0"/>
          <wp:wrapSquare wrapText="bothSides" distT="0" distB="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895475" cy="768985"/>
                  </a:xfrm>
                  <a:prstGeom prst="rect">
                    <a:avLst/>
                  </a:prstGeom>
                  <a:ln/>
                </pic:spPr>
              </pic:pic>
            </a:graphicData>
          </a:graphic>
        </wp:anchor>
      </w:drawing>
    </w:r>
  </w:p>
  <w:p w14:paraId="0F17B75A" w14:textId="77777777" w:rsidR="006D18B9" w:rsidRDefault="006D18B9">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594807"/>
    <w:multiLevelType w:val="multilevel"/>
    <w:tmpl w:val="1F5459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113898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8B9"/>
    <w:rsid w:val="000E7487"/>
    <w:rsid w:val="00580674"/>
    <w:rsid w:val="006D18B9"/>
    <w:rsid w:val="00A7156C"/>
    <w:rsid w:val="00B31D53"/>
    <w:rsid w:val="00D82072"/>
    <w:rsid w:val="00FA5E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04AB6"/>
  <w15:docId w15:val="{ED1121A7-446E-49C0-BF9D-1EB996F6D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cs" w:eastAsia="cs-CZ"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outlineLvl w:val="0"/>
    </w:pPr>
    <w:rPr>
      <w:b/>
      <w:bCs/>
      <w:sz w:val="32"/>
      <w:szCs w:val="32"/>
    </w:rPr>
  </w:style>
  <w:style w:type="paragraph" w:styleId="Nadpis2">
    <w:name w:val="heading 2"/>
    <w:basedOn w:val="Normln"/>
    <w:next w:val="Normln"/>
    <w:uiPriority w:val="9"/>
    <w:semiHidden/>
    <w:unhideWhenUsed/>
    <w:qFormat/>
    <w:pPr>
      <w:keepNext/>
      <w:keepLines/>
      <w:spacing w:before="40" w:after="0"/>
      <w:outlineLvl w:val="1"/>
    </w:pPr>
    <w:rPr>
      <w:rFonts w:ascii="Calibri" w:eastAsia="Calibri" w:hAnsi="Calibri" w:cs="Calibri"/>
      <w:color w:val="2F5496"/>
      <w:sz w:val="26"/>
      <w:szCs w:val="26"/>
    </w:rPr>
  </w:style>
  <w:style w:type="paragraph" w:styleId="Nadpis3">
    <w:name w:val="heading 3"/>
    <w:basedOn w:val="Normln"/>
    <w:next w:val="Normln"/>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Nadpis4">
    <w:name w:val="heading 4"/>
    <w:basedOn w:val="Normln"/>
    <w:next w:val="Normln"/>
    <w:uiPriority w:val="9"/>
    <w:semiHidden/>
    <w:unhideWhenUsed/>
    <w:qFormat/>
    <w:pPr>
      <w:keepNext/>
      <w:keepLines/>
      <w:spacing w:before="40" w:after="0"/>
      <w:outlineLvl w:val="3"/>
    </w:pPr>
    <w:rPr>
      <w:rFonts w:ascii="Calibri" w:eastAsia="Calibri" w:hAnsi="Calibri" w:cs="Calibri"/>
      <w:i/>
      <w:iCs/>
      <w:color w:val="2F5496"/>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ouracka.cz/"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mailto:bara.wendlova@crestcom.cz" TargetMode="External"/><Relationship Id="rId10" Type="http://schemas.openxmlformats.org/officeDocument/2006/relationships/hyperlink" Target="https://odskodnete.me/wp-content/uploads/2025/05/Zaznam_o_dopravni_nehode_v_AJ_Accident_statement.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ingo.cz/blog/zaznam-o-nehode-jak-ho-vyplnit-formular-ke-stazeni/?utm_source=chatgpt.com"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cQk1rFF336pSOz8DaZeQtXDa4g==">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949</Words>
  <Characters>5603</Characters>
  <Application>Microsoft Office Word</Application>
  <DocSecurity>0</DocSecurity>
  <Lines>46</Lines>
  <Paragraphs>13</Paragraphs>
  <ScaleCrop>false</ScaleCrop>
  <Company/>
  <LinksUpToDate>false</LinksUpToDate>
  <CharactersWithSpaces>6539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Bára Wendlová | CrestCommunications a.s.</cp:lastModifiedBy>
  <cp:revision>3</cp:revision>
  <dcterms:created xsi:type="dcterms:W3CDTF">2026-07-13T13:24:00Z</dcterms:created>
  <dcterms:modified xsi:type="dcterms:W3CDTF">2026-07-15T08:35:00Z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0x010100EE21AEF63623FE4F9A58CC6BACDC5B81</vt:lpwstr>
  </property>
  <property fmtid="{D5CDD505-2E9C-101B-9397-08002B2CF9AE}" pid="3" name="MediaServiceImageTags">
    <vt:lpwstr>MediaServiceImageTags</vt:lpwstr>
  </property>
</Properties>
</file>